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A59" w:rsidRPr="00F126F0" w:rsidRDefault="00B14352" w:rsidP="009F1314">
      <w:pPr>
        <w:pStyle w:val="NoSpacing"/>
        <w:jc w:val="center"/>
        <w:rPr>
          <w:b/>
          <w:sz w:val="26"/>
          <w:szCs w:val="26"/>
        </w:rPr>
      </w:pPr>
      <w:r w:rsidRPr="00F126F0">
        <w:rPr>
          <w:b/>
          <w:sz w:val="26"/>
          <w:szCs w:val="26"/>
        </w:rPr>
        <w:t xml:space="preserve">PNB Housing Finance </w:t>
      </w:r>
      <w:r w:rsidR="00ED469E" w:rsidRPr="00F126F0">
        <w:rPr>
          <w:b/>
          <w:sz w:val="26"/>
          <w:szCs w:val="26"/>
        </w:rPr>
        <w:t>Affirms</w:t>
      </w:r>
      <w:r w:rsidRPr="00F126F0">
        <w:rPr>
          <w:b/>
          <w:sz w:val="26"/>
          <w:szCs w:val="26"/>
        </w:rPr>
        <w:t xml:space="preserve"> its Financial Strength </w:t>
      </w:r>
      <w:r w:rsidR="00E67676">
        <w:rPr>
          <w:b/>
          <w:sz w:val="26"/>
          <w:szCs w:val="26"/>
        </w:rPr>
        <w:t xml:space="preserve">and Growth </w:t>
      </w:r>
      <w:r w:rsidRPr="00F126F0">
        <w:rPr>
          <w:b/>
          <w:sz w:val="26"/>
          <w:szCs w:val="26"/>
        </w:rPr>
        <w:t xml:space="preserve">with </w:t>
      </w:r>
      <w:r w:rsidR="00FD1243">
        <w:rPr>
          <w:b/>
          <w:sz w:val="26"/>
          <w:szCs w:val="26"/>
        </w:rPr>
        <w:t>Three</w:t>
      </w:r>
      <w:r w:rsidR="00ED469E" w:rsidRPr="00F126F0">
        <w:rPr>
          <w:b/>
          <w:sz w:val="26"/>
          <w:szCs w:val="26"/>
        </w:rPr>
        <w:t xml:space="preserve"> </w:t>
      </w:r>
      <w:r w:rsidR="00F75D2E">
        <w:rPr>
          <w:b/>
          <w:sz w:val="26"/>
          <w:szCs w:val="26"/>
        </w:rPr>
        <w:t xml:space="preserve">Consistent </w:t>
      </w:r>
      <w:r w:rsidR="00ED469E" w:rsidRPr="00F126F0">
        <w:rPr>
          <w:b/>
          <w:sz w:val="26"/>
          <w:szCs w:val="26"/>
        </w:rPr>
        <w:t>Credit Rating</w:t>
      </w:r>
      <w:r w:rsidR="00FD1243">
        <w:rPr>
          <w:b/>
          <w:sz w:val="26"/>
          <w:szCs w:val="26"/>
        </w:rPr>
        <w:t xml:space="preserve"> Upgrades</w:t>
      </w:r>
      <w:r w:rsidR="007773A3" w:rsidRPr="00F126F0">
        <w:rPr>
          <w:b/>
          <w:sz w:val="26"/>
          <w:szCs w:val="26"/>
        </w:rPr>
        <w:t xml:space="preserve"> in a Single Quarter</w:t>
      </w:r>
    </w:p>
    <w:p w:rsidR="00566C71" w:rsidRPr="00566C71" w:rsidRDefault="00864DC2" w:rsidP="009F1314">
      <w:pPr>
        <w:pStyle w:val="NoSpacing"/>
        <w:numPr>
          <w:ilvl w:val="0"/>
          <w:numId w:val="1"/>
        </w:numPr>
        <w:spacing w:after="100" w:afterAutospacing="1"/>
        <w:rPr>
          <w:b/>
          <w:i/>
          <w:sz w:val="24"/>
          <w:szCs w:val="26"/>
        </w:rPr>
      </w:pPr>
      <w:r>
        <w:rPr>
          <w:b/>
          <w:i/>
          <w:sz w:val="24"/>
          <w:szCs w:val="26"/>
        </w:rPr>
        <w:t>Secures</w:t>
      </w:r>
      <w:r w:rsidR="0082475E" w:rsidRPr="0082475E">
        <w:rPr>
          <w:b/>
          <w:i/>
          <w:sz w:val="24"/>
          <w:szCs w:val="26"/>
        </w:rPr>
        <w:t xml:space="preserve"> rating upgrade</w:t>
      </w:r>
      <w:r w:rsidR="00566C71">
        <w:rPr>
          <w:b/>
          <w:i/>
          <w:sz w:val="24"/>
          <w:szCs w:val="26"/>
        </w:rPr>
        <w:t>s</w:t>
      </w:r>
      <w:r w:rsidR="0082475E" w:rsidRPr="0082475E">
        <w:rPr>
          <w:b/>
          <w:i/>
          <w:sz w:val="24"/>
          <w:szCs w:val="26"/>
        </w:rPr>
        <w:t xml:space="preserve"> from Ind-Ra, ICRA and CARE</w:t>
      </w:r>
      <w:r w:rsidR="00566C71">
        <w:rPr>
          <w:b/>
          <w:i/>
          <w:sz w:val="24"/>
          <w:szCs w:val="26"/>
        </w:rPr>
        <w:t xml:space="preserve"> in Q4 FY24 alone</w:t>
      </w:r>
    </w:p>
    <w:p w:rsidR="00CA29C2" w:rsidRDefault="008E00BB" w:rsidP="009F1314">
      <w:pPr>
        <w:pStyle w:val="NoSpacing"/>
        <w:spacing w:after="100" w:afterAutospacing="1"/>
        <w:jc w:val="both"/>
      </w:pPr>
      <w:r>
        <w:rPr>
          <w:b/>
        </w:rPr>
        <w:t>National, 1</w:t>
      </w:r>
      <w:r w:rsidRPr="008E00BB">
        <w:rPr>
          <w:b/>
          <w:vertAlign w:val="superscript"/>
        </w:rPr>
        <w:t>st</w:t>
      </w:r>
      <w:r>
        <w:rPr>
          <w:b/>
        </w:rPr>
        <w:t xml:space="preserve"> April 2024:</w:t>
      </w:r>
      <w:r>
        <w:t xml:space="preserve"> </w:t>
      </w:r>
      <w:r w:rsidR="00286A03">
        <w:t>PNB Housing Finance, one of the largest housing finance companies in</w:t>
      </w:r>
      <w:r w:rsidR="00286A03">
        <w:rPr>
          <w:spacing w:val="-1"/>
        </w:rPr>
        <w:t xml:space="preserve"> </w:t>
      </w:r>
      <w:r w:rsidR="00286A03">
        <w:t xml:space="preserve">India, </w:t>
      </w:r>
      <w:r w:rsidR="00864DC2">
        <w:t>announced its exceptional achievement of securing</w:t>
      </w:r>
      <w:r w:rsidR="00DF16AB">
        <w:t xml:space="preserve"> credit rating upgrades </w:t>
      </w:r>
      <w:r w:rsidR="003917C3">
        <w:t xml:space="preserve">thrice in a row in a single quarter (Q4 FY24). </w:t>
      </w:r>
      <w:r w:rsidR="008E4C77">
        <w:t>India Ratings, ICRA and CARE Ratings</w:t>
      </w:r>
      <w:r w:rsidR="00864DC2">
        <w:t xml:space="preserve"> </w:t>
      </w:r>
      <w:r w:rsidR="00DD3275">
        <w:t>affirmed and upgraded the Company’s ratings to ‘AA+’ from ‘AA’ with ‘Stable’ outlook.</w:t>
      </w:r>
      <w:r w:rsidR="00EC6D0B">
        <w:t xml:space="preserve"> </w:t>
      </w:r>
      <w:r w:rsidR="009D25D3">
        <w:t xml:space="preserve">The rating rationale </w:t>
      </w:r>
      <w:r w:rsidR="00BF08BE">
        <w:t>factors in</w:t>
      </w:r>
      <w:r w:rsidR="009D25D3">
        <w:t xml:space="preserve"> PNB Housing Finance’s </w:t>
      </w:r>
      <w:r w:rsidR="00F75D2E">
        <w:t>improved asset quality, strong market position</w:t>
      </w:r>
      <w:r w:rsidR="00804B30">
        <w:t xml:space="preserve">, </w:t>
      </w:r>
      <w:r w:rsidR="00D907FC">
        <w:t xml:space="preserve">diversified resource </w:t>
      </w:r>
      <w:r w:rsidR="00BF08BE">
        <w:t xml:space="preserve">profile and efficient capital management. </w:t>
      </w:r>
      <w:r w:rsidR="00172E03">
        <w:t>Further, the agencies recognized the Company’s sharpened focus on t</w:t>
      </w:r>
      <w:r w:rsidR="008F7CBD">
        <w:t>he granularization of the retail loan book</w:t>
      </w:r>
      <w:r w:rsidR="00970D4B">
        <w:t xml:space="preserve">, along with the expansion of the affordable housing segment Roshni, for </w:t>
      </w:r>
      <w:r w:rsidR="00F75D2E">
        <w:t>ensuring higher yields &amp;</w:t>
      </w:r>
      <w:r w:rsidR="008F7CBD">
        <w:t xml:space="preserve"> interest margins</w:t>
      </w:r>
      <w:r w:rsidR="00F75D2E">
        <w:t>, and improving profitability</w:t>
      </w:r>
      <w:r w:rsidR="008F7CBD">
        <w:t>.</w:t>
      </w:r>
    </w:p>
    <w:p w:rsidR="006F1DC3" w:rsidRDefault="00FB4583" w:rsidP="006F1DC3">
      <w:pPr>
        <w:pStyle w:val="NoSpacing"/>
        <w:spacing w:after="100" w:afterAutospacing="1"/>
        <w:jc w:val="both"/>
      </w:pPr>
      <w:r w:rsidRPr="005B5C9E">
        <w:rPr>
          <w:b/>
        </w:rPr>
        <w:t xml:space="preserve">Mr. </w:t>
      </w:r>
      <w:r w:rsidR="00C92C44">
        <w:rPr>
          <w:b/>
        </w:rPr>
        <w:t>Girish Kousgi, MD &amp; CEO</w:t>
      </w:r>
      <w:r w:rsidRPr="005B5C9E">
        <w:rPr>
          <w:b/>
        </w:rPr>
        <w:t>, PNB Housing Finance</w:t>
      </w:r>
      <w:r>
        <w:t xml:space="preserve">, stated, </w:t>
      </w:r>
      <w:r w:rsidRPr="00514FAC">
        <w:rPr>
          <w:i/>
        </w:rPr>
        <w:t>“</w:t>
      </w:r>
      <w:r w:rsidR="006C0283" w:rsidRPr="00514FAC">
        <w:rPr>
          <w:i/>
          <w:lang w:val="en-US"/>
        </w:rPr>
        <w:t xml:space="preserve">We are proud to close this financial year with three consistent credit rating upgrades </w:t>
      </w:r>
      <w:r w:rsidR="00514FAC">
        <w:rPr>
          <w:i/>
          <w:lang w:val="en-US"/>
        </w:rPr>
        <w:t xml:space="preserve">from Ind-Ra, ICRA and CARE </w:t>
      </w:r>
      <w:r w:rsidR="006C0283" w:rsidRPr="00514FAC">
        <w:rPr>
          <w:i/>
          <w:lang w:val="en-US"/>
        </w:rPr>
        <w:t>in the last quarter alone. This accompl</w:t>
      </w:r>
      <w:r w:rsidR="00A770B4" w:rsidRPr="00514FAC">
        <w:rPr>
          <w:i/>
          <w:lang w:val="en-US"/>
        </w:rPr>
        <w:t xml:space="preserve">ishment reflects our holistic growth strategy of </w:t>
      </w:r>
      <w:r w:rsidR="001748F8" w:rsidRPr="00514FAC">
        <w:rPr>
          <w:i/>
          <w:lang w:val="en-US"/>
        </w:rPr>
        <w:t xml:space="preserve">boosting our business performance, </w:t>
      </w:r>
      <w:r w:rsidR="0006649C">
        <w:rPr>
          <w:i/>
          <w:lang w:val="en-US"/>
        </w:rPr>
        <w:t xml:space="preserve">and </w:t>
      </w:r>
      <w:r w:rsidR="001748F8" w:rsidRPr="00514FAC">
        <w:rPr>
          <w:i/>
          <w:lang w:val="en-US"/>
        </w:rPr>
        <w:t xml:space="preserve">delivering on </w:t>
      </w:r>
      <w:r w:rsidR="00EA029A" w:rsidRPr="00514FAC">
        <w:rPr>
          <w:i/>
          <w:lang w:val="en-US"/>
        </w:rPr>
        <w:t>important</w:t>
      </w:r>
      <w:r w:rsidR="001748F8" w:rsidRPr="00514FAC">
        <w:rPr>
          <w:i/>
          <w:lang w:val="en-US"/>
        </w:rPr>
        <w:t xml:space="preserve"> </w:t>
      </w:r>
      <w:r w:rsidR="000E1814" w:rsidRPr="00514FAC">
        <w:rPr>
          <w:i/>
          <w:lang w:val="en-US"/>
        </w:rPr>
        <w:t xml:space="preserve">financial </w:t>
      </w:r>
      <w:r w:rsidR="0006649C">
        <w:rPr>
          <w:i/>
          <w:lang w:val="en-US"/>
        </w:rPr>
        <w:t>metrics</w:t>
      </w:r>
      <w:r w:rsidR="000E1814" w:rsidRPr="00514FAC">
        <w:rPr>
          <w:i/>
          <w:lang w:val="en-US"/>
        </w:rPr>
        <w:t xml:space="preserve">. </w:t>
      </w:r>
      <w:r w:rsidR="00EA029A" w:rsidRPr="00514FAC">
        <w:rPr>
          <w:i/>
          <w:lang w:val="en-US"/>
        </w:rPr>
        <w:t>We are excited</w:t>
      </w:r>
      <w:r w:rsidR="000E1814" w:rsidRPr="00514FAC">
        <w:rPr>
          <w:i/>
          <w:lang w:val="en-US"/>
        </w:rPr>
        <w:t xml:space="preserve"> </w:t>
      </w:r>
      <w:r w:rsidR="00EA029A" w:rsidRPr="00514FAC">
        <w:rPr>
          <w:i/>
          <w:lang w:val="en-US"/>
        </w:rPr>
        <w:t xml:space="preserve">to </w:t>
      </w:r>
      <w:r w:rsidR="000E1814" w:rsidRPr="00514FAC">
        <w:rPr>
          <w:i/>
          <w:lang w:val="en-US"/>
        </w:rPr>
        <w:t>step into the new financial year</w:t>
      </w:r>
      <w:r w:rsidR="00EA029A" w:rsidRPr="00514FAC">
        <w:rPr>
          <w:i/>
          <w:lang w:val="en-US"/>
        </w:rPr>
        <w:t xml:space="preserve"> with renewed vigor and confidence of our </w:t>
      </w:r>
      <w:r w:rsidR="00E0568C" w:rsidRPr="00514FAC">
        <w:rPr>
          <w:i/>
          <w:lang w:val="en-US"/>
        </w:rPr>
        <w:t xml:space="preserve">key </w:t>
      </w:r>
      <w:r w:rsidR="00EA029A" w:rsidRPr="00514FAC">
        <w:rPr>
          <w:i/>
          <w:lang w:val="en-US"/>
        </w:rPr>
        <w:t>stakeholders</w:t>
      </w:r>
      <w:r w:rsidR="000E1814" w:rsidRPr="00514FAC">
        <w:rPr>
          <w:i/>
          <w:lang w:val="en-US"/>
        </w:rPr>
        <w:t xml:space="preserve">, </w:t>
      </w:r>
      <w:r w:rsidR="00E0568C" w:rsidRPr="00514FAC">
        <w:rPr>
          <w:i/>
          <w:lang w:val="en-US"/>
        </w:rPr>
        <w:t xml:space="preserve">and </w:t>
      </w:r>
      <w:r w:rsidR="00B5685A">
        <w:rPr>
          <w:i/>
          <w:lang w:val="en-US"/>
        </w:rPr>
        <w:t xml:space="preserve">our endeavor is </w:t>
      </w:r>
      <w:r w:rsidR="00E0568C" w:rsidRPr="00514FAC">
        <w:rPr>
          <w:i/>
          <w:lang w:val="en-US"/>
        </w:rPr>
        <w:t>to maintain this momentum to</w:t>
      </w:r>
      <w:r w:rsidR="000E1814" w:rsidRPr="00514FAC">
        <w:rPr>
          <w:i/>
          <w:lang w:val="en-US"/>
        </w:rPr>
        <w:t xml:space="preserve"> accomplish our long-term goals efficiently</w:t>
      </w:r>
      <w:r w:rsidR="00D15508" w:rsidRPr="00514FAC">
        <w:rPr>
          <w:i/>
          <w:lang w:val="en-US"/>
        </w:rPr>
        <w:t>.</w:t>
      </w:r>
      <w:r w:rsidR="000347AF" w:rsidRPr="00514FAC">
        <w:rPr>
          <w:i/>
        </w:rPr>
        <w:t>”</w:t>
      </w:r>
    </w:p>
    <w:tbl>
      <w:tblPr>
        <w:tblStyle w:val="TableGrid"/>
        <w:tblW w:w="0" w:type="auto"/>
        <w:tblLook w:val="04A0" w:firstRow="1" w:lastRow="0" w:firstColumn="1" w:lastColumn="0" w:noHBand="0" w:noVBand="1"/>
      </w:tblPr>
      <w:tblGrid>
        <w:gridCol w:w="4508"/>
        <w:gridCol w:w="4508"/>
      </w:tblGrid>
      <w:tr w:rsidR="00551E7D" w:rsidRPr="00BB5208" w:rsidTr="00551E7D">
        <w:tc>
          <w:tcPr>
            <w:tcW w:w="4508" w:type="dxa"/>
          </w:tcPr>
          <w:p w:rsidR="00551E7D" w:rsidRPr="009F1314" w:rsidRDefault="00551E7D" w:rsidP="00BB5208">
            <w:pPr>
              <w:pStyle w:val="NoSpacing"/>
              <w:spacing w:after="100" w:afterAutospacing="1"/>
              <w:jc w:val="center"/>
              <w:rPr>
                <w:b/>
                <w:sz w:val="20"/>
              </w:rPr>
            </w:pPr>
            <w:r w:rsidRPr="009F1314">
              <w:rPr>
                <w:b/>
                <w:sz w:val="20"/>
              </w:rPr>
              <w:t>Instrument Type</w:t>
            </w:r>
          </w:p>
        </w:tc>
        <w:tc>
          <w:tcPr>
            <w:tcW w:w="4508" w:type="dxa"/>
          </w:tcPr>
          <w:p w:rsidR="00551E7D" w:rsidRPr="009F1314" w:rsidRDefault="00551E7D" w:rsidP="00BB5208">
            <w:pPr>
              <w:pStyle w:val="NoSpacing"/>
              <w:spacing w:after="100" w:afterAutospacing="1"/>
              <w:jc w:val="center"/>
              <w:rPr>
                <w:b/>
                <w:sz w:val="20"/>
              </w:rPr>
            </w:pPr>
            <w:r w:rsidRPr="009F1314">
              <w:rPr>
                <w:b/>
                <w:sz w:val="20"/>
              </w:rPr>
              <w:t>Credit Rating</w:t>
            </w:r>
          </w:p>
        </w:tc>
      </w:tr>
      <w:tr w:rsidR="000E2B8F" w:rsidTr="00080D74">
        <w:tc>
          <w:tcPr>
            <w:tcW w:w="4508" w:type="dxa"/>
          </w:tcPr>
          <w:p w:rsidR="000E2B8F" w:rsidRPr="009F1314" w:rsidRDefault="000E2B8F" w:rsidP="00080D74">
            <w:pPr>
              <w:pStyle w:val="NoSpacing"/>
              <w:spacing w:after="100" w:afterAutospacing="1"/>
              <w:jc w:val="both"/>
              <w:rPr>
                <w:sz w:val="20"/>
              </w:rPr>
            </w:pPr>
            <w:r w:rsidRPr="009F1314">
              <w:rPr>
                <w:sz w:val="20"/>
              </w:rPr>
              <w:t>Bank Loans</w:t>
            </w:r>
          </w:p>
        </w:tc>
        <w:tc>
          <w:tcPr>
            <w:tcW w:w="4508" w:type="dxa"/>
          </w:tcPr>
          <w:p w:rsidR="000E2B8F" w:rsidRPr="009F1314" w:rsidRDefault="000E2B8F" w:rsidP="00080D74">
            <w:pPr>
              <w:pStyle w:val="NoSpacing"/>
              <w:jc w:val="both"/>
              <w:rPr>
                <w:sz w:val="20"/>
              </w:rPr>
            </w:pPr>
            <w:r w:rsidRPr="009F1314">
              <w:rPr>
                <w:sz w:val="20"/>
              </w:rPr>
              <w:t>CARE AA+ (Outlook – Stable)</w:t>
            </w:r>
          </w:p>
          <w:p w:rsidR="000E2B8F" w:rsidRDefault="000E2B8F" w:rsidP="00080D74">
            <w:pPr>
              <w:pStyle w:val="NoSpacing"/>
              <w:jc w:val="both"/>
              <w:rPr>
                <w:sz w:val="20"/>
              </w:rPr>
            </w:pPr>
            <w:r w:rsidRPr="009F1314">
              <w:rPr>
                <w:sz w:val="20"/>
              </w:rPr>
              <w:t>India Ratings AA+ (Outlook – Stable)</w:t>
            </w:r>
          </w:p>
          <w:p w:rsidR="000E2B8F" w:rsidRPr="009F1314" w:rsidRDefault="000E2B8F" w:rsidP="00080D74">
            <w:pPr>
              <w:pStyle w:val="NoSpacing"/>
              <w:jc w:val="both"/>
              <w:rPr>
                <w:sz w:val="20"/>
              </w:rPr>
            </w:pPr>
            <w:r w:rsidRPr="009F1314">
              <w:rPr>
                <w:sz w:val="20"/>
              </w:rPr>
              <w:t>CRISIL AA (Outlook – Positive)</w:t>
            </w:r>
          </w:p>
        </w:tc>
      </w:tr>
      <w:tr w:rsidR="000E2B8F" w:rsidTr="00080D74">
        <w:tc>
          <w:tcPr>
            <w:tcW w:w="4508" w:type="dxa"/>
          </w:tcPr>
          <w:p w:rsidR="000E2B8F" w:rsidRPr="009F1314" w:rsidRDefault="000E2B8F" w:rsidP="00080D74">
            <w:pPr>
              <w:pStyle w:val="NoSpacing"/>
              <w:spacing w:after="100" w:afterAutospacing="1"/>
              <w:jc w:val="both"/>
              <w:rPr>
                <w:sz w:val="20"/>
              </w:rPr>
            </w:pPr>
            <w:r w:rsidRPr="009F1314">
              <w:rPr>
                <w:sz w:val="20"/>
              </w:rPr>
              <w:t>Non-convertible Debentures (NCDs)</w:t>
            </w:r>
          </w:p>
        </w:tc>
        <w:tc>
          <w:tcPr>
            <w:tcW w:w="4508" w:type="dxa"/>
          </w:tcPr>
          <w:p w:rsidR="000E2B8F" w:rsidRPr="009F1314" w:rsidRDefault="000E2B8F" w:rsidP="00080D74">
            <w:pPr>
              <w:pStyle w:val="NoSpacing"/>
              <w:jc w:val="both"/>
              <w:rPr>
                <w:sz w:val="20"/>
              </w:rPr>
            </w:pPr>
            <w:r w:rsidRPr="009F1314">
              <w:rPr>
                <w:sz w:val="20"/>
              </w:rPr>
              <w:t>CARE AA+ (Outlook – Stable)</w:t>
            </w:r>
          </w:p>
          <w:p w:rsidR="000E2B8F" w:rsidRPr="009F1314" w:rsidRDefault="000E2B8F" w:rsidP="00080D74">
            <w:pPr>
              <w:pStyle w:val="NoSpacing"/>
              <w:jc w:val="both"/>
              <w:rPr>
                <w:sz w:val="20"/>
              </w:rPr>
            </w:pPr>
            <w:r w:rsidRPr="009F1314">
              <w:rPr>
                <w:sz w:val="20"/>
              </w:rPr>
              <w:t>ICRA AA+ (Outlook – Stable)</w:t>
            </w:r>
          </w:p>
          <w:p w:rsidR="000E2B8F" w:rsidRDefault="000E2B8F" w:rsidP="00080D74">
            <w:pPr>
              <w:pStyle w:val="NoSpacing"/>
              <w:jc w:val="both"/>
              <w:rPr>
                <w:sz w:val="20"/>
              </w:rPr>
            </w:pPr>
            <w:r w:rsidRPr="009F1314">
              <w:rPr>
                <w:sz w:val="20"/>
              </w:rPr>
              <w:t>India Ratings AA+ (Outlook – Stable)</w:t>
            </w:r>
          </w:p>
          <w:p w:rsidR="000E2B8F" w:rsidRPr="009F1314" w:rsidRDefault="000E2B8F" w:rsidP="00080D74">
            <w:pPr>
              <w:pStyle w:val="NoSpacing"/>
              <w:jc w:val="both"/>
              <w:rPr>
                <w:sz w:val="20"/>
              </w:rPr>
            </w:pPr>
            <w:r w:rsidRPr="009F1314">
              <w:rPr>
                <w:sz w:val="20"/>
              </w:rPr>
              <w:t>CRISIL AA (Outlook – Positive)</w:t>
            </w:r>
          </w:p>
        </w:tc>
      </w:tr>
      <w:tr w:rsidR="000E2B8F" w:rsidTr="00080D74">
        <w:tc>
          <w:tcPr>
            <w:tcW w:w="4508" w:type="dxa"/>
          </w:tcPr>
          <w:p w:rsidR="000E2B8F" w:rsidRPr="009F1314" w:rsidRDefault="000E2B8F" w:rsidP="00080D74">
            <w:pPr>
              <w:pStyle w:val="NoSpacing"/>
              <w:spacing w:after="100" w:afterAutospacing="1"/>
              <w:jc w:val="both"/>
              <w:rPr>
                <w:sz w:val="20"/>
              </w:rPr>
            </w:pPr>
            <w:r w:rsidRPr="009F1314">
              <w:rPr>
                <w:sz w:val="20"/>
              </w:rPr>
              <w:t>Commercial Paper</w:t>
            </w:r>
          </w:p>
        </w:tc>
        <w:tc>
          <w:tcPr>
            <w:tcW w:w="4508" w:type="dxa"/>
          </w:tcPr>
          <w:p w:rsidR="000E2B8F" w:rsidRPr="009F1314" w:rsidRDefault="000E2B8F" w:rsidP="00080D74">
            <w:pPr>
              <w:pStyle w:val="NoSpacing"/>
              <w:jc w:val="both"/>
              <w:rPr>
                <w:sz w:val="20"/>
              </w:rPr>
            </w:pPr>
            <w:r w:rsidRPr="009F1314">
              <w:rPr>
                <w:sz w:val="20"/>
              </w:rPr>
              <w:t>CARE A1+</w:t>
            </w:r>
          </w:p>
          <w:p w:rsidR="000E2B8F" w:rsidRPr="009F1314" w:rsidRDefault="000E2B8F" w:rsidP="00080D74">
            <w:pPr>
              <w:pStyle w:val="NoSpacing"/>
              <w:jc w:val="both"/>
              <w:rPr>
                <w:sz w:val="20"/>
              </w:rPr>
            </w:pPr>
            <w:r w:rsidRPr="009F1314">
              <w:rPr>
                <w:sz w:val="20"/>
              </w:rPr>
              <w:t>CRISIL A1+</w:t>
            </w:r>
          </w:p>
        </w:tc>
      </w:tr>
      <w:tr w:rsidR="00551E7D" w:rsidTr="00551E7D">
        <w:tc>
          <w:tcPr>
            <w:tcW w:w="4508" w:type="dxa"/>
          </w:tcPr>
          <w:p w:rsidR="00551E7D" w:rsidRPr="009F1314" w:rsidRDefault="00551E7D" w:rsidP="006F1DC3">
            <w:pPr>
              <w:pStyle w:val="NoSpacing"/>
              <w:spacing w:after="100" w:afterAutospacing="1"/>
              <w:jc w:val="both"/>
              <w:rPr>
                <w:sz w:val="20"/>
              </w:rPr>
            </w:pPr>
            <w:r w:rsidRPr="009F1314">
              <w:rPr>
                <w:sz w:val="20"/>
              </w:rPr>
              <w:t>Fixed Deposit</w:t>
            </w:r>
          </w:p>
        </w:tc>
        <w:tc>
          <w:tcPr>
            <w:tcW w:w="4508" w:type="dxa"/>
          </w:tcPr>
          <w:p w:rsidR="00551E7D" w:rsidRDefault="00551E7D" w:rsidP="00FB5E0F">
            <w:pPr>
              <w:pStyle w:val="NoSpacing"/>
              <w:jc w:val="both"/>
              <w:rPr>
                <w:sz w:val="20"/>
              </w:rPr>
            </w:pPr>
            <w:r w:rsidRPr="009F1314">
              <w:rPr>
                <w:sz w:val="20"/>
              </w:rPr>
              <w:t>CARE AA</w:t>
            </w:r>
            <w:r w:rsidR="00FB5E0F" w:rsidRPr="009F1314">
              <w:rPr>
                <w:sz w:val="20"/>
              </w:rPr>
              <w:t>+</w:t>
            </w:r>
            <w:r w:rsidRPr="009F1314">
              <w:rPr>
                <w:sz w:val="20"/>
              </w:rPr>
              <w:t xml:space="preserve"> (Outlook – </w:t>
            </w:r>
            <w:r w:rsidR="00FB5E0F" w:rsidRPr="009F1314">
              <w:rPr>
                <w:sz w:val="20"/>
              </w:rPr>
              <w:t>Stable</w:t>
            </w:r>
            <w:r w:rsidRPr="009F1314">
              <w:rPr>
                <w:sz w:val="20"/>
              </w:rPr>
              <w:t>)</w:t>
            </w:r>
          </w:p>
          <w:p w:rsidR="000E2B8F" w:rsidRPr="009F1314" w:rsidRDefault="000E2B8F" w:rsidP="00FB5E0F">
            <w:pPr>
              <w:pStyle w:val="NoSpacing"/>
              <w:jc w:val="both"/>
              <w:rPr>
                <w:sz w:val="20"/>
              </w:rPr>
            </w:pPr>
            <w:r w:rsidRPr="009F1314">
              <w:rPr>
                <w:sz w:val="20"/>
              </w:rPr>
              <w:t>CRISIL AA (Outlook – Positive)</w:t>
            </w:r>
          </w:p>
        </w:tc>
      </w:tr>
    </w:tbl>
    <w:p w:rsidR="009F1314" w:rsidRDefault="009F1314" w:rsidP="000A44C6">
      <w:pPr>
        <w:spacing w:after="0"/>
        <w:rPr>
          <w:rFonts w:cstheme="minorHAnsi"/>
          <w:b/>
          <w:sz w:val="20"/>
          <w:u w:val="single"/>
        </w:rPr>
      </w:pPr>
    </w:p>
    <w:p w:rsidR="000A44C6" w:rsidRPr="000A310C" w:rsidRDefault="000A44C6" w:rsidP="000A44C6">
      <w:pPr>
        <w:spacing w:after="0"/>
        <w:rPr>
          <w:rFonts w:cstheme="minorHAnsi"/>
          <w:b/>
          <w:sz w:val="20"/>
          <w:u w:val="single"/>
        </w:rPr>
      </w:pPr>
      <w:r w:rsidRPr="000A310C">
        <w:rPr>
          <w:rFonts w:cstheme="minorHAnsi"/>
          <w:b/>
          <w:sz w:val="20"/>
          <w:u w:val="single"/>
        </w:rPr>
        <w:t>About PNB Housing Finance</w:t>
      </w:r>
    </w:p>
    <w:p w:rsidR="000A44C6" w:rsidRPr="000A310C" w:rsidRDefault="000A44C6" w:rsidP="000A44C6">
      <w:pPr>
        <w:spacing w:after="100" w:afterAutospacing="1"/>
        <w:jc w:val="both"/>
        <w:rPr>
          <w:rFonts w:cstheme="minorHAnsi"/>
          <w:sz w:val="20"/>
        </w:rPr>
      </w:pPr>
      <w:r w:rsidRPr="000A310C">
        <w:rPr>
          <w:rFonts w:cstheme="minorHAnsi"/>
          <w:sz w:val="20"/>
        </w:rPr>
        <w:t>PNB Housing Finance Limited (PNB Housing) is a registered housing finance company with National Housing Bank (NHB). It was incorporated under the Companies Act, 1956 and commenced its operations on November 11, 1988. PNB Housing is promoted by Punjab National Bank (PNB). The Company came out with a public issue of equity shares in Nov</w:t>
      </w:r>
      <w:bookmarkStart w:id="0" w:name="_GoBack"/>
      <w:bookmarkEnd w:id="0"/>
      <w:r w:rsidRPr="000A310C">
        <w:rPr>
          <w:rFonts w:cstheme="minorHAnsi"/>
          <w:sz w:val="20"/>
        </w:rPr>
        <w:t>ember 2016. Its equity shares are listed on National Stock Exchange (NSE) and Bombay Stock Exchange (BSE) with effect from 7</w:t>
      </w:r>
      <w:r w:rsidRPr="00F1450B">
        <w:rPr>
          <w:rFonts w:cstheme="minorHAnsi"/>
          <w:sz w:val="20"/>
          <w:vertAlign w:val="superscript"/>
        </w:rPr>
        <w:t>th</w:t>
      </w:r>
      <w:r w:rsidR="00F1450B">
        <w:rPr>
          <w:rFonts w:cstheme="minorHAnsi"/>
          <w:sz w:val="20"/>
        </w:rPr>
        <w:t xml:space="preserve"> </w:t>
      </w:r>
      <w:r w:rsidRPr="000A310C">
        <w:rPr>
          <w:rFonts w:cstheme="minorHAnsi"/>
          <w:sz w:val="20"/>
        </w:rPr>
        <w:t>November 2016. With over three decades of specialised experience in housing finance, PNB Housing has a robust network of branches spread across the country which help its customers avail financial services (loans and deposits) seamlessly. PNB Housing provides housing loans to individuals and corporate bodies for purchase, construction, repair and upgradation of houses. It also provides loans for commercial space, loan against property and loan for purchase of residential plots.</w:t>
      </w:r>
    </w:p>
    <w:p w:rsidR="00824263" w:rsidRPr="00824263" w:rsidRDefault="00824263" w:rsidP="00824263">
      <w:pPr>
        <w:autoSpaceDE w:val="0"/>
        <w:autoSpaceDN w:val="0"/>
        <w:adjustRightInd w:val="0"/>
        <w:jc w:val="both"/>
        <w:rPr>
          <w:rFonts w:cstheme="minorHAnsi"/>
          <w:color w:val="000000" w:themeColor="text1"/>
          <w:sz w:val="20"/>
        </w:rPr>
      </w:pPr>
      <w:r w:rsidRPr="00824263">
        <w:rPr>
          <w:rFonts w:cstheme="minorHAnsi"/>
          <w:b/>
          <w:color w:val="000000" w:themeColor="text1"/>
          <w:sz w:val="20"/>
          <w:u w:val="single"/>
        </w:rPr>
        <w:t>For more information, please contact</w:t>
      </w:r>
      <w:r w:rsidRPr="00824263">
        <w:rPr>
          <w:rFonts w:cstheme="minorHAnsi"/>
          <w:color w:val="000000" w:themeColor="text1"/>
          <w:sz w:val="20"/>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01"/>
      </w:tblGrid>
      <w:tr w:rsidR="00824263" w:rsidRPr="00824263" w:rsidTr="00150467">
        <w:tc>
          <w:tcPr>
            <w:tcW w:w="4815" w:type="dxa"/>
          </w:tcPr>
          <w:p w:rsidR="00824263" w:rsidRPr="00824263" w:rsidRDefault="00824263" w:rsidP="00150467">
            <w:pPr>
              <w:autoSpaceDE w:val="0"/>
              <w:autoSpaceDN w:val="0"/>
              <w:adjustRightInd w:val="0"/>
              <w:jc w:val="both"/>
              <w:rPr>
                <w:rFonts w:cstheme="minorHAnsi"/>
                <w:color w:val="000000" w:themeColor="text1"/>
                <w:sz w:val="20"/>
                <w:u w:val="single"/>
              </w:rPr>
            </w:pPr>
            <w:r w:rsidRPr="00824263">
              <w:rPr>
                <w:rFonts w:cstheme="minorHAnsi"/>
                <w:color w:val="000000" w:themeColor="text1"/>
                <w:sz w:val="20"/>
                <w:u w:val="single"/>
              </w:rPr>
              <w:t>Investor Relations</w:t>
            </w:r>
          </w:p>
        </w:tc>
        <w:tc>
          <w:tcPr>
            <w:tcW w:w="4201" w:type="dxa"/>
          </w:tcPr>
          <w:p w:rsidR="00824263" w:rsidRPr="00824263" w:rsidRDefault="00824263" w:rsidP="00150467">
            <w:pPr>
              <w:autoSpaceDE w:val="0"/>
              <w:autoSpaceDN w:val="0"/>
              <w:adjustRightInd w:val="0"/>
              <w:rPr>
                <w:rFonts w:cstheme="minorHAnsi"/>
                <w:color w:val="000000" w:themeColor="text1"/>
                <w:sz w:val="20"/>
                <w:u w:val="single"/>
              </w:rPr>
            </w:pPr>
            <w:r w:rsidRPr="00824263">
              <w:rPr>
                <w:rFonts w:cstheme="minorHAnsi"/>
                <w:color w:val="000000" w:themeColor="text1"/>
                <w:sz w:val="20"/>
                <w:u w:val="single"/>
              </w:rPr>
              <w:t>Media</w:t>
            </w:r>
          </w:p>
        </w:tc>
      </w:tr>
      <w:tr w:rsidR="00824263" w:rsidRPr="00824263" w:rsidTr="00150467">
        <w:trPr>
          <w:trHeight w:val="241"/>
        </w:trPr>
        <w:tc>
          <w:tcPr>
            <w:tcW w:w="4815" w:type="dxa"/>
          </w:tcPr>
          <w:p w:rsidR="00824263" w:rsidRPr="00824263" w:rsidRDefault="00824263" w:rsidP="00150467">
            <w:pPr>
              <w:autoSpaceDE w:val="0"/>
              <w:autoSpaceDN w:val="0"/>
              <w:adjustRightInd w:val="0"/>
              <w:jc w:val="both"/>
              <w:rPr>
                <w:rFonts w:cstheme="minorHAnsi"/>
                <w:color w:val="000000" w:themeColor="text1"/>
                <w:sz w:val="20"/>
              </w:rPr>
            </w:pPr>
            <w:r w:rsidRPr="00824263">
              <w:rPr>
                <w:rFonts w:cstheme="minorHAnsi"/>
                <w:color w:val="000000" w:themeColor="text1"/>
                <w:sz w:val="20"/>
              </w:rPr>
              <w:t>Deepika Gupta Padhi, Head – IR &amp; Treasury</w:t>
            </w:r>
          </w:p>
        </w:tc>
        <w:tc>
          <w:tcPr>
            <w:tcW w:w="4201" w:type="dxa"/>
          </w:tcPr>
          <w:p w:rsidR="00824263" w:rsidRPr="00824263" w:rsidRDefault="00824263" w:rsidP="00150467">
            <w:pPr>
              <w:autoSpaceDE w:val="0"/>
              <w:autoSpaceDN w:val="0"/>
              <w:adjustRightInd w:val="0"/>
              <w:rPr>
                <w:rFonts w:cstheme="minorHAnsi"/>
                <w:color w:val="000000" w:themeColor="text1"/>
                <w:sz w:val="20"/>
              </w:rPr>
            </w:pPr>
            <w:r w:rsidRPr="00824263">
              <w:rPr>
                <w:rFonts w:cstheme="minorHAnsi"/>
                <w:color w:val="000000" w:themeColor="text1"/>
                <w:sz w:val="20"/>
              </w:rPr>
              <w:t>Bhavya Taneja, Head – Marketing</w:t>
            </w:r>
          </w:p>
        </w:tc>
      </w:tr>
      <w:tr w:rsidR="00824263" w:rsidRPr="00824263" w:rsidTr="00150467">
        <w:tc>
          <w:tcPr>
            <w:tcW w:w="4815" w:type="dxa"/>
          </w:tcPr>
          <w:p w:rsidR="00824263" w:rsidRPr="00824263" w:rsidRDefault="00824263" w:rsidP="00150467">
            <w:pPr>
              <w:autoSpaceDE w:val="0"/>
              <w:autoSpaceDN w:val="0"/>
              <w:adjustRightInd w:val="0"/>
              <w:jc w:val="both"/>
              <w:rPr>
                <w:rFonts w:cstheme="minorHAnsi"/>
                <w:color w:val="000000" w:themeColor="text1"/>
                <w:sz w:val="20"/>
              </w:rPr>
            </w:pPr>
            <w:r w:rsidRPr="00824263">
              <w:rPr>
                <w:rFonts w:cstheme="minorHAnsi"/>
                <w:color w:val="000000" w:themeColor="text1"/>
                <w:sz w:val="20"/>
              </w:rPr>
              <w:t>Phone: +91 11 23445214, +91 98106 80316</w:t>
            </w:r>
          </w:p>
        </w:tc>
        <w:tc>
          <w:tcPr>
            <w:tcW w:w="4201" w:type="dxa"/>
          </w:tcPr>
          <w:p w:rsidR="00824263" w:rsidRPr="00824263" w:rsidRDefault="00824263" w:rsidP="00150467">
            <w:pPr>
              <w:autoSpaceDE w:val="0"/>
              <w:autoSpaceDN w:val="0"/>
              <w:adjustRightInd w:val="0"/>
              <w:rPr>
                <w:rFonts w:cstheme="minorHAnsi"/>
                <w:color w:val="000000" w:themeColor="text1"/>
                <w:sz w:val="20"/>
              </w:rPr>
            </w:pPr>
            <w:r w:rsidRPr="00824263">
              <w:rPr>
                <w:rFonts w:cstheme="minorHAnsi"/>
                <w:color w:val="000000" w:themeColor="text1"/>
                <w:sz w:val="20"/>
              </w:rPr>
              <w:t>Phone: +91 11 66030500, + 91 89296 08392</w:t>
            </w:r>
          </w:p>
        </w:tc>
      </w:tr>
      <w:tr w:rsidR="00824263" w:rsidRPr="00824263" w:rsidTr="00150467">
        <w:tc>
          <w:tcPr>
            <w:tcW w:w="4815" w:type="dxa"/>
          </w:tcPr>
          <w:p w:rsidR="00824263" w:rsidRPr="00824263" w:rsidRDefault="00824263" w:rsidP="00150467">
            <w:pPr>
              <w:autoSpaceDE w:val="0"/>
              <w:autoSpaceDN w:val="0"/>
              <w:adjustRightInd w:val="0"/>
              <w:jc w:val="both"/>
              <w:rPr>
                <w:rFonts w:cstheme="minorHAnsi"/>
                <w:color w:val="000000" w:themeColor="text1"/>
                <w:sz w:val="20"/>
              </w:rPr>
            </w:pPr>
            <w:r w:rsidRPr="00824263">
              <w:rPr>
                <w:rFonts w:cstheme="minorHAnsi"/>
                <w:color w:val="000000" w:themeColor="text1"/>
                <w:sz w:val="20"/>
              </w:rPr>
              <w:t xml:space="preserve">Email: </w:t>
            </w:r>
            <w:hyperlink r:id="rId7" w:history="1">
              <w:r w:rsidRPr="00824263">
                <w:rPr>
                  <w:rStyle w:val="Hyperlink"/>
                  <w:rFonts w:cstheme="minorHAnsi"/>
                  <w:sz w:val="20"/>
                </w:rPr>
                <w:t>Investor.relations@pnbhousing.com</w:t>
              </w:r>
            </w:hyperlink>
          </w:p>
        </w:tc>
        <w:tc>
          <w:tcPr>
            <w:tcW w:w="4201" w:type="dxa"/>
          </w:tcPr>
          <w:p w:rsidR="00824263" w:rsidRPr="00824263" w:rsidRDefault="00824263" w:rsidP="00150467">
            <w:pPr>
              <w:autoSpaceDE w:val="0"/>
              <w:autoSpaceDN w:val="0"/>
              <w:adjustRightInd w:val="0"/>
              <w:jc w:val="both"/>
              <w:rPr>
                <w:rFonts w:cstheme="minorHAnsi"/>
                <w:sz w:val="20"/>
              </w:rPr>
            </w:pPr>
            <w:r w:rsidRPr="00824263">
              <w:rPr>
                <w:rFonts w:cstheme="minorHAnsi"/>
                <w:color w:val="000000" w:themeColor="text1"/>
                <w:sz w:val="20"/>
              </w:rPr>
              <w:t xml:space="preserve">Email: </w:t>
            </w:r>
            <w:hyperlink r:id="rId8" w:history="1">
              <w:r w:rsidRPr="00824263">
                <w:rPr>
                  <w:rStyle w:val="Hyperlink"/>
                  <w:rFonts w:cstheme="minorHAnsi"/>
                  <w:sz w:val="20"/>
                </w:rPr>
                <w:t>bhavya.taneja@pnbhousing.com</w:t>
              </w:r>
            </w:hyperlink>
            <w:r w:rsidRPr="00824263">
              <w:rPr>
                <w:rFonts w:cstheme="minorHAnsi"/>
                <w:color w:val="000000" w:themeColor="text1"/>
                <w:sz w:val="20"/>
              </w:rPr>
              <w:t xml:space="preserve"> </w:t>
            </w:r>
          </w:p>
        </w:tc>
      </w:tr>
    </w:tbl>
    <w:p w:rsidR="0076357F" w:rsidRDefault="0076357F" w:rsidP="000A44C6">
      <w:pPr>
        <w:pStyle w:val="NoSpacing"/>
        <w:rPr>
          <w:rFonts w:cstheme="minorHAnsi"/>
          <w:b/>
          <w:sz w:val="20"/>
          <w:u w:val="single"/>
          <w:lang w:val="en-US"/>
        </w:rPr>
      </w:pPr>
    </w:p>
    <w:p w:rsidR="006D6468" w:rsidRDefault="006D6468" w:rsidP="006D6468">
      <w:pPr>
        <w:pStyle w:val="NoSpacing"/>
        <w:jc w:val="center"/>
      </w:pPr>
      <w:r>
        <w:t># # #</w:t>
      </w:r>
    </w:p>
    <w:sectPr w:rsidR="006D646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4EA" w:rsidRDefault="001A34EA" w:rsidP="00FE694D">
      <w:pPr>
        <w:spacing w:after="0" w:line="240" w:lineRule="auto"/>
      </w:pPr>
      <w:r>
        <w:separator/>
      </w:r>
    </w:p>
  </w:endnote>
  <w:endnote w:type="continuationSeparator" w:id="0">
    <w:p w:rsidR="001A34EA" w:rsidRDefault="001A34EA" w:rsidP="00FE6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A59" w:rsidRDefault="00633DBB">
    <w:pPr>
      <w:pStyle w:val="Footer"/>
    </w:pPr>
    <w:r w:rsidRPr="00A90C4A">
      <w:t>Regd. Office: 9th Floor, Antriksh Bhavan, 22 Kasturba Gandhi Marg, New Delhi – 110 001 Phone: 011 – 23736857, E-mail: loans@pnbhfl.com, Website: www.pnbhfl.com CIN: L65922DL1988PLC033856</w:t>
    </w:r>
    <w:r w:rsidR="00540A59">
      <w:rPr>
        <w:noProof/>
        <w:lang w:val="en-GB" w:eastAsia="en-GB"/>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c44f4505bbbb0b7d5f35998d" descr="{&quot;HashCode&quot;:-126006353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40A59" w:rsidRPr="00540A59" w:rsidRDefault="00540A59" w:rsidP="00540A59">
                          <w:pPr>
                            <w:spacing w:after="0"/>
                            <w:jc w:val="center"/>
                            <w:rPr>
                              <w:rFonts w:ascii="Calibri" w:hAnsi="Calibri" w:cs="Calibri"/>
                              <w:color w:val="000000"/>
                              <w:sz w:val="20"/>
                            </w:rPr>
                          </w:pPr>
                          <w:r w:rsidRPr="00540A59">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c44f4505bbbb0b7d5f35998d" o:spid="_x0000_s1026" type="#_x0000_t202" alt="{&quot;HashCode&quot;:-126006353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" o:allowincell="f" filled="f" stroked="f" strokeweight=".5pt">
              <v:textbox inset=",0,,0">
                <w:txbxContent>
                  <w:p w:rsidR="00540A59" w:rsidRPr="00540A59" w:rsidRDefault="00540A59" w:rsidP="00540A59">
                    <w:pPr>
                      <w:spacing w:after="0"/>
                      <w:jc w:val="center"/>
                      <w:rPr>
                        <w:rFonts w:ascii="Calibri" w:hAnsi="Calibri" w:cs="Calibri"/>
                        <w:color w:val="000000"/>
                        <w:sz w:val="20"/>
                      </w:rPr>
                    </w:pPr>
                    <w:r w:rsidRPr="00540A59">
                      <w:rPr>
                        <w:rFonts w:ascii="Calibri" w:hAnsi="Calibri" w:cs="Calibri"/>
                        <w:color w:val="000000"/>
                        <w:sz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4EA" w:rsidRDefault="001A34EA" w:rsidP="00FE694D">
      <w:pPr>
        <w:spacing w:after="0" w:line="240" w:lineRule="auto"/>
      </w:pPr>
      <w:r>
        <w:separator/>
      </w:r>
    </w:p>
  </w:footnote>
  <w:footnote w:type="continuationSeparator" w:id="0">
    <w:p w:rsidR="001A34EA" w:rsidRDefault="001A34EA" w:rsidP="00FE6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4D" w:rsidRDefault="00FE694D" w:rsidP="00FE694D">
    <w:pPr>
      <w:pStyle w:val="Header"/>
      <w:jc w:val="right"/>
    </w:pPr>
    <w:r>
      <w:rPr>
        <w:noProof/>
        <w:lang w:val="en-GB" w:eastAsia="en-GB"/>
      </w:rPr>
      <w:drawing>
        <wp:inline distT="0" distB="0" distL="0" distR="0">
          <wp:extent cx="994500" cy="421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725" cy="4376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DE10D8"/>
    <w:multiLevelType w:val="hybridMultilevel"/>
    <w:tmpl w:val="BD06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EyNzM0tjA2NzExNTRU0lEKTi0uzszPAykwqgUAg4C7siwAAAA="/>
  </w:docVars>
  <w:rsids>
    <w:rsidRoot w:val="00CA29C2"/>
    <w:rsid w:val="000347AF"/>
    <w:rsid w:val="0006649C"/>
    <w:rsid w:val="000A44C6"/>
    <w:rsid w:val="000A7C19"/>
    <w:rsid w:val="000E1814"/>
    <w:rsid w:val="000E2B8F"/>
    <w:rsid w:val="00127CE3"/>
    <w:rsid w:val="00172B20"/>
    <w:rsid w:val="00172E03"/>
    <w:rsid w:val="001748F8"/>
    <w:rsid w:val="001A34EA"/>
    <w:rsid w:val="001F229B"/>
    <w:rsid w:val="001F575D"/>
    <w:rsid w:val="002138CB"/>
    <w:rsid w:val="002775DF"/>
    <w:rsid w:val="00286A03"/>
    <w:rsid w:val="002C1034"/>
    <w:rsid w:val="002D0703"/>
    <w:rsid w:val="003403C6"/>
    <w:rsid w:val="00362C71"/>
    <w:rsid w:val="00375A87"/>
    <w:rsid w:val="003917C3"/>
    <w:rsid w:val="003C00DE"/>
    <w:rsid w:val="00442C22"/>
    <w:rsid w:val="0047632B"/>
    <w:rsid w:val="00514FAC"/>
    <w:rsid w:val="00516371"/>
    <w:rsid w:val="00540A59"/>
    <w:rsid w:val="00551E7D"/>
    <w:rsid w:val="00566C71"/>
    <w:rsid w:val="005B5C9E"/>
    <w:rsid w:val="005E3252"/>
    <w:rsid w:val="00613528"/>
    <w:rsid w:val="00633DBB"/>
    <w:rsid w:val="006634E7"/>
    <w:rsid w:val="00682370"/>
    <w:rsid w:val="006C0283"/>
    <w:rsid w:val="006D6468"/>
    <w:rsid w:val="006F1DC3"/>
    <w:rsid w:val="00700EFC"/>
    <w:rsid w:val="0076357F"/>
    <w:rsid w:val="00771A5F"/>
    <w:rsid w:val="007773A3"/>
    <w:rsid w:val="007A005C"/>
    <w:rsid w:val="007B1727"/>
    <w:rsid w:val="00804B30"/>
    <w:rsid w:val="00824263"/>
    <w:rsid w:val="0082475E"/>
    <w:rsid w:val="00837939"/>
    <w:rsid w:val="00864DC2"/>
    <w:rsid w:val="0086710D"/>
    <w:rsid w:val="008E00BB"/>
    <w:rsid w:val="008E4C77"/>
    <w:rsid w:val="008F04E1"/>
    <w:rsid w:val="008F7CBD"/>
    <w:rsid w:val="00940383"/>
    <w:rsid w:val="00942274"/>
    <w:rsid w:val="00943AFA"/>
    <w:rsid w:val="00944F5B"/>
    <w:rsid w:val="00970D4B"/>
    <w:rsid w:val="00971C52"/>
    <w:rsid w:val="00976AAA"/>
    <w:rsid w:val="009D25D3"/>
    <w:rsid w:val="009F1314"/>
    <w:rsid w:val="00A212EB"/>
    <w:rsid w:val="00A27C90"/>
    <w:rsid w:val="00A34F0C"/>
    <w:rsid w:val="00A770B4"/>
    <w:rsid w:val="00A8770D"/>
    <w:rsid w:val="00A95975"/>
    <w:rsid w:val="00AB19AB"/>
    <w:rsid w:val="00AB604C"/>
    <w:rsid w:val="00B14352"/>
    <w:rsid w:val="00B5685A"/>
    <w:rsid w:val="00BA097B"/>
    <w:rsid w:val="00BB4ABD"/>
    <w:rsid w:val="00BB5208"/>
    <w:rsid w:val="00BC1FF0"/>
    <w:rsid w:val="00BF08BE"/>
    <w:rsid w:val="00C92C44"/>
    <w:rsid w:val="00CA29C2"/>
    <w:rsid w:val="00D01ECD"/>
    <w:rsid w:val="00D15508"/>
    <w:rsid w:val="00D42600"/>
    <w:rsid w:val="00D907FC"/>
    <w:rsid w:val="00D93646"/>
    <w:rsid w:val="00D95DC1"/>
    <w:rsid w:val="00DC179A"/>
    <w:rsid w:val="00DD3275"/>
    <w:rsid w:val="00DD3DB7"/>
    <w:rsid w:val="00DF16AB"/>
    <w:rsid w:val="00E0568C"/>
    <w:rsid w:val="00E22BAA"/>
    <w:rsid w:val="00E67676"/>
    <w:rsid w:val="00EA029A"/>
    <w:rsid w:val="00EC6D0B"/>
    <w:rsid w:val="00ED469E"/>
    <w:rsid w:val="00F05C52"/>
    <w:rsid w:val="00F126F0"/>
    <w:rsid w:val="00F1450B"/>
    <w:rsid w:val="00F54DD4"/>
    <w:rsid w:val="00F75D2E"/>
    <w:rsid w:val="00FB4583"/>
    <w:rsid w:val="00FB5E0F"/>
    <w:rsid w:val="00FD1243"/>
    <w:rsid w:val="00FE69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BA3F1A-D8CD-4B4F-B80C-36BD21B0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3D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DB7"/>
    <w:rPr>
      <w:rFonts w:asciiTheme="majorHAnsi" w:eastAsiaTheme="majorEastAsia" w:hAnsiTheme="majorHAnsi" w:cstheme="majorBidi"/>
      <w:spacing w:val="-10"/>
      <w:kern w:val="28"/>
      <w:sz w:val="56"/>
      <w:szCs w:val="56"/>
    </w:rPr>
  </w:style>
  <w:style w:type="paragraph" w:styleId="NoSpacing">
    <w:name w:val="No Spacing"/>
    <w:uiPriority w:val="1"/>
    <w:qFormat/>
    <w:rsid w:val="006D6468"/>
    <w:pPr>
      <w:spacing w:after="0" w:line="240" w:lineRule="auto"/>
    </w:pPr>
  </w:style>
  <w:style w:type="paragraph" w:styleId="Header">
    <w:name w:val="header"/>
    <w:basedOn w:val="Normal"/>
    <w:link w:val="HeaderChar"/>
    <w:uiPriority w:val="99"/>
    <w:unhideWhenUsed/>
    <w:rsid w:val="00FE6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94D"/>
  </w:style>
  <w:style w:type="paragraph" w:styleId="Footer">
    <w:name w:val="footer"/>
    <w:basedOn w:val="Normal"/>
    <w:link w:val="FooterChar"/>
    <w:uiPriority w:val="99"/>
    <w:unhideWhenUsed/>
    <w:rsid w:val="00FE6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94D"/>
  </w:style>
  <w:style w:type="character" w:styleId="Hyperlink">
    <w:name w:val="Hyperlink"/>
    <w:basedOn w:val="DefaultParagraphFont"/>
    <w:uiPriority w:val="99"/>
    <w:unhideWhenUsed/>
    <w:rsid w:val="002138CB"/>
    <w:rPr>
      <w:color w:val="0563C1" w:themeColor="hyperlink"/>
      <w:u w:val="single"/>
    </w:rPr>
  </w:style>
  <w:style w:type="table" w:styleId="TableGrid">
    <w:name w:val="Table Grid"/>
    <w:basedOn w:val="TableNormal"/>
    <w:uiPriority w:val="39"/>
    <w:rsid w:val="00551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6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6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havya.taneja@pnbhousing.com" TargetMode="External"/><Relationship Id="rId3" Type="http://schemas.openxmlformats.org/officeDocument/2006/relationships/settings" Target="settings.xml"/><Relationship Id="rId7" Type="http://schemas.openxmlformats.org/officeDocument/2006/relationships/hyperlink" Target="mailto:Investor.relations@pnbhous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1</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Viraj Salunkhe</dc:creator>
  <cp:keywords/>
  <dc:description/>
  <cp:lastModifiedBy>Nikita Mahipal</cp:lastModifiedBy>
  <cp:revision>76</cp:revision>
  <cp:lastPrinted>2024-04-01T06:39:00Z</cp:lastPrinted>
  <dcterms:created xsi:type="dcterms:W3CDTF">2024-03-12T09:13:00Z</dcterms:created>
  <dcterms:modified xsi:type="dcterms:W3CDTF">2024-04-04T11:45:00Z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7c6f6f-cd6a-4a90-abf8-e0ed9c30d2b2_Enabled">
    <vt:lpwstr>true</vt:lpwstr>
  </property>
  <property fmtid="{D5CDD505-2E9C-101B-9397-08002B2CF9AE}" pid="3" name="MSIP_Label_bb7c6f6f-cd6a-4a90-abf8-e0ed9c30d2b2_SetDate">
    <vt:lpwstr>2024-04-04T11:45:14Z</vt:lpwstr>
  </property>
  <property fmtid="{D5CDD505-2E9C-101B-9397-08002B2CF9AE}" pid="4" name="MSIP_Label_bb7c6f6f-cd6a-4a90-abf8-e0ed9c30d2b2_Method">
    <vt:lpwstr>Standard</vt:lpwstr>
  </property>
  <property fmtid="{D5CDD505-2E9C-101B-9397-08002B2CF9AE}" pid="5" name="MSIP_Label_bb7c6f6f-cd6a-4a90-abf8-e0ed9c30d2b2_Name">
    <vt:lpwstr>Internal</vt:lpwstr>
  </property>
  <property fmtid="{D5CDD505-2E9C-101B-9397-08002B2CF9AE}" pid="6" name="MSIP_Label_bb7c6f6f-cd6a-4a90-abf8-e0ed9c30d2b2_SiteId">
    <vt:lpwstr>427ce52f-28b4-4197-8b93-a8bf2cc0a9b0</vt:lpwstr>
  </property>
  <property fmtid="{D5CDD505-2E9C-101B-9397-08002B2CF9AE}" pid="7" name="MSIP_Label_bb7c6f6f-cd6a-4a90-abf8-e0ed9c30d2b2_ActionId">
    <vt:lpwstr>150207cd-900b-4b9b-9bcf-756f4a2997e5</vt:lpwstr>
  </property>
  <property fmtid="{D5CDD505-2E9C-101B-9397-08002B2CF9AE}" pid="8" name="MSIP_Label_bb7c6f6f-cd6a-4a90-abf8-e0ed9c30d2b2_ContentBits">
    <vt:lpwstr>2</vt:lpwstr>
  </property>
</Properties>
</file>